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97</w:t>
      </w:r>
      <w:r w:rsidR="00715976">
        <w:rPr>
          <w:rFonts w:ascii="Arial" w:hAnsi="Arial" w:cs="Arial"/>
          <w:b/>
          <w:caps/>
          <w:sz w:val="22"/>
          <w:szCs w:val="22"/>
          <w:lang w:val="es-MX"/>
        </w:rPr>
        <w:t>.-</w:t>
      </w:r>
      <w:r w:rsidRPr="002B7E4F">
        <w:rPr>
          <w:rFonts w:ascii="Arial" w:hAnsi="Arial" w:cs="Arial"/>
          <w:b/>
          <w:caps/>
          <w:sz w:val="22"/>
          <w:szCs w:val="22"/>
          <w:lang w:val="es-MX"/>
        </w:rPr>
        <w:t xml:space="preserve"> VENTILADOR INYECCIÓN LOCALES TÉCNICOS ESTACIÓN ELEVADA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Suministro, instalación de ventilador de flujo mixto en línea para suministro de aire en locales técnicos de acuerdo a proyecto ejecutivo indicado en planos, construido en carcasa de acero soldado, baleros estándar con resistencia  a la fatiga L50, con tiempo de vida de 400,000 horas de operación, transmisión directa para manejar el flujo de aire indicado en planos, operación  en forma horizontal, motor TEFC, con motor de 1-10 hp características eléctricas 230/3/60 y rango de caudales de 1,000 a 8,000 CFM. El P.U. incluye: Soportes </w:t>
      </w:r>
      <w:proofErr w:type="spellStart"/>
      <w:r w:rsidRPr="002B7E4F">
        <w:rPr>
          <w:rFonts w:ascii="Arial" w:hAnsi="Arial" w:cs="Arial"/>
          <w:sz w:val="22"/>
          <w:szCs w:val="22"/>
        </w:rPr>
        <w:t>antivibratorios</w:t>
      </w:r>
      <w:proofErr w:type="spellEnd"/>
      <w:r w:rsidRPr="002B7E4F">
        <w:rPr>
          <w:rFonts w:ascii="Arial" w:hAnsi="Arial" w:cs="Arial"/>
          <w:sz w:val="22"/>
          <w:szCs w:val="22"/>
        </w:rPr>
        <w:t>, cuellos flexibles,  material de fijación, materiales de desperdicios,  mano de obra, equipos,  herramientas, maniobras, grúas, acarreos dentro y fuera de la obra,  almacenamiento, limpieza y retiro de material fuera de la obra, pruebas, puesta en marcha y todo lo necesario para su correcto funcionamiento, además incluye todas las canalizaciones necesarias,  programación  e  interconexión de controles necesarios indicados en el proyecto.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2"/>
        </w:numPr>
        <w:rPr>
          <w:rFonts w:ascii="Arial" w:hAnsi="Arial" w:cs="Arial"/>
          <w:b/>
          <w:sz w:val="22"/>
          <w:szCs w:val="22"/>
        </w:rPr>
      </w:pPr>
      <w:bookmarkStart w:id="1" w:name="_Toc368152293"/>
      <w:r w:rsidRPr="002B7E4F">
        <w:rPr>
          <w:rFonts w:ascii="Arial" w:hAnsi="Arial" w:cs="Arial"/>
          <w:b/>
          <w:sz w:val="22"/>
          <w:szCs w:val="22"/>
        </w:rPr>
        <w:t>Características Técnicas</w:t>
      </w:r>
      <w:bookmarkEnd w:id="1"/>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Los ventiladores a implementar en el corredor diagonal de Guadalajara deberán contar de manera general con los siguientes elementos:</w:t>
      </w:r>
    </w:p>
    <w:p w:rsidR="002B7E4F" w:rsidRPr="002B7E4F" w:rsidRDefault="002B7E4F" w:rsidP="00462F48">
      <w:pPr>
        <w:pStyle w:val="TITULO-4"/>
        <w:numPr>
          <w:ilvl w:val="3"/>
          <w:numId w:val="22"/>
        </w:numPr>
        <w:rPr>
          <w:spacing w:val="-1"/>
          <w:sz w:val="22"/>
          <w:szCs w:val="22"/>
        </w:rPr>
      </w:pPr>
      <w:bookmarkStart w:id="2" w:name="_Toc368152294"/>
      <w:r w:rsidRPr="002B7E4F">
        <w:rPr>
          <w:spacing w:val="-1"/>
          <w:sz w:val="22"/>
          <w:szCs w:val="22"/>
        </w:rPr>
        <w:t>Construcción del gabinete.</w:t>
      </w:r>
      <w:bookmarkEnd w:id="2"/>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La cubierta del ventilador es construida con partes estructurales rígidas  formada con paneles de acero galvanizado.</w:t>
      </w:r>
    </w:p>
    <w:p w:rsidR="002B7E4F" w:rsidRPr="002B7E4F" w:rsidRDefault="002B7E4F" w:rsidP="00462F48">
      <w:pPr>
        <w:pStyle w:val="TITULO-4"/>
        <w:numPr>
          <w:ilvl w:val="3"/>
          <w:numId w:val="22"/>
        </w:numPr>
        <w:rPr>
          <w:spacing w:val="-1"/>
          <w:sz w:val="22"/>
          <w:szCs w:val="22"/>
        </w:rPr>
      </w:pPr>
      <w:bookmarkStart w:id="3" w:name="_Toc368152295"/>
      <w:r w:rsidRPr="002B7E4F">
        <w:rPr>
          <w:spacing w:val="-1"/>
          <w:sz w:val="22"/>
          <w:szCs w:val="22"/>
        </w:rPr>
        <w:t>Rueda.</w:t>
      </w:r>
      <w:bookmarkEnd w:id="3"/>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La rueda centrífuga de aluminio, inclinada hacia atrás, sin sobrecarga se utiliza para generar una máxima eficiencia. Cada rueda es balanceada estáticamente y dinámicamente.</w:t>
      </w:r>
    </w:p>
    <w:p w:rsidR="002B7E4F" w:rsidRPr="002B7E4F" w:rsidRDefault="002B7E4F" w:rsidP="00462F48">
      <w:pPr>
        <w:pStyle w:val="TITULO-4"/>
        <w:numPr>
          <w:ilvl w:val="3"/>
          <w:numId w:val="22"/>
        </w:numPr>
        <w:rPr>
          <w:spacing w:val="-1"/>
          <w:sz w:val="22"/>
          <w:szCs w:val="22"/>
        </w:rPr>
      </w:pPr>
      <w:bookmarkStart w:id="4" w:name="_Toc368152296"/>
      <w:r w:rsidRPr="002B7E4F">
        <w:rPr>
          <w:spacing w:val="-1"/>
          <w:sz w:val="22"/>
          <w:szCs w:val="22"/>
        </w:rPr>
        <w:t>Collares del ducto.</w:t>
      </w:r>
      <w:bookmarkEnd w:id="4"/>
      <w:r w:rsidRPr="002B7E4F">
        <w:rPr>
          <w:spacing w:val="-1"/>
          <w:sz w:val="22"/>
          <w:szCs w:val="22"/>
        </w:rPr>
        <w:t xml:space="preserve"> </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Los collares del ducto de la entrada deberán de tener un acople fácil al ducto. El diseño deberá de contemplar la mínima producción de ruido para una operación silenciosa.</w:t>
      </w:r>
    </w:p>
    <w:p w:rsidR="002B7E4F" w:rsidRPr="002B7E4F" w:rsidRDefault="002B7E4F" w:rsidP="00462F48">
      <w:pPr>
        <w:pStyle w:val="TITULO-4"/>
        <w:numPr>
          <w:ilvl w:val="3"/>
          <w:numId w:val="22"/>
        </w:numPr>
        <w:rPr>
          <w:spacing w:val="-1"/>
          <w:sz w:val="22"/>
          <w:szCs w:val="22"/>
        </w:rPr>
      </w:pPr>
      <w:bookmarkStart w:id="5" w:name="_Toc368152297"/>
      <w:r w:rsidRPr="002B7E4F">
        <w:rPr>
          <w:spacing w:val="-1"/>
          <w:sz w:val="22"/>
          <w:szCs w:val="22"/>
        </w:rPr>
        <w:t>Paneles  de acceso.</w:t>
      </w:r>
      <w:bookmarkEnd w:id="5"/>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La construcción del gabinete ofrece dos paneles de acceso laterales. Los paneles deberán permitir el libre acceso y de forma fácil a cualquiera de los componentes internos.</w:t>
      </w:r>
    </w:p>
    <w:p w:rsidR="002B7E4F" w:rsidRPr="002B7E4F" w:rsidRDefault="002B7E4F" w:rsidP="00462F48">
      <w:pPr>
        <w:pStyle w:val="TITULO-4"/>
        <w:numPr>
          <w:ilvl w:val="3"/>
          <w:numId w:val="22"/>
        </w:numPr>
        <w:rPr>
          <w:spacing w:val="-1"/>
          <w:sz w:val="22"/>
          <w:szCs w:val="22"/>
        </w:rPr>
      </w:pPr>
      <w:bookmarkStart w:id="6" w:name="_Toc368152298"/>
      <w:r w:rsidRPr="002B7E4F">
        <w:rPr>
          <w:spacing w:val="-1"/>
          <w:sz w:val="22"/>
          <w:szCs w:val="22"/>
        </w:rPr>
        <w:t>Base del motor.</w:t>
      </w:r>
      <w:bookmarkEnd w:id="6"/>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Deberá de estar construido de acero reforzado.</w:t>
      </w:r>
    </w:p>
    <w:p w:rsidR="002B7E4F" w:rsidRPr="002B7E4F" w:rsidRDefault="002B7E4F" w:rsidP="00462F48">
      <w:pPr>
        <w:pStyle w:val="TITULO-4"/>
        <w:numPr>
          <w:ilvl w:val="3"/>
          <w:numId w:val="22"/>
        </w:numPr>
        <w:rPr>
          <w:spacing w:val="-1"/>
          <w:sz w:val="22"/>
          <w:szCs w:val="22"/>
        </w:rPr>
      </w:pPr>
      <w:bookmarkStart w:id="7" w:name="_Toc368152299"/>
      <w:r w:rsidRPr="002B7E4F">
        <w:rPr>
          <w:spacing w:val="-1"/>
          <w:sz w:val="22"/>
          <w:szCs w:val="22"/>
        </w:rPr>
        <w:t>Motor.</w:t>
      </w:r>
      <w:bookmarkEnd w:id="7"/>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Motores permanentemente lubricados, de rodamientos sellados y de mantenimientos </w:t>
      </w:r>
      <w:r w:rsidRPr="002B7E4F">
        <w:rPr>
          <w:rFonts w:ascii="Arial" w:hAnsi="Arial" w:cs="Arial"/>
          <w:spacing w:val="-1"/>
          <w:sz w:val="22"/>
          <w:szCs w:val="22"/>
        </w:rPr>
        <w:lastRenderedPageBreak/>
        <w:t>mínimo.</w:t>
      </w:r>
    </w:p>
    <w:p w:rsidR="002B7E4F" w:rsidRPr="002B7E4F" w:rsidRDefault="002B7E4F" w:rsidP="00462F48">
      <w:pPr>
        <w:pStyle w:val="TITULO-4"/>
        <w:numPr>
          <w:ilvl w:val="3"/>
          <w:numId w:val="22"/>
        </w:numPr>
        <w:rPr>
          <w:spacing w:val="-1"/>
          <w:sz w:val="22"/>
          <w:szCs w:val="22"/>
        </w:rPr>
      </w:pPr>
      <w:bookmarkStart w:id="8" w:name="_Toc368152300"/>
      <w:r w:rsidRPr="002B7E4F">
        <w:rPr>
          <w:spacing w:val="-1"/>
          <w:sz w:val="22"/>
          <w:szCs w:val="22"/>
        </w:rPr>
        <w:t>Rodamientos.</w:t>
      </w:r>
      <w:bookmarkEnd w:id="8"/>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Los rodamientos deberán de ser probados totalmente en fábrica y diseñados específicamente para aplicaciones de manejo de aire con una vida mínima de más de 400 000.00 horas.</w:t>
      </w:r>
    </w:p>
    <w:p w:rsidR="002B7E4F" w:rsidRPr="002B7E4F" w:rsidRDefault="002B7E4F" w:rsidP="00462F48">
      <w:pPr>
        <w:pStyle w:val="TITULO-4"/>
        <w:numPr>
          <w:ilvl w:val="3"/>
          <w:numId w:val="22"/>
        </w:numPr>
        <w:rPr>
          <w:spacing w:val="-1"/>
          <w:sz w:val="22"/>
          <w:szCs w:val="22"/>
        </w:rPr>
      </w:pPr>
      <w:bookmarkStart w:id="9" w:name="_Toc368152301"/>
      <w:r w:rsidRPr="002B7E4F">
        <w:rPr>
          <w:spacing w:val="-1"/>
          <w:sz w:val="22"/>
          <w:szCs w:val="22"/>
        </w:rPr>
        <w:t>Transmisión.</w:t>
      </w:r>
      <w:bookmarkEnd w:id="9"/>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La transmisión se ajustará para un mínimo de 150% de caballaje de fuerza. Las bandas deberán ser libres de estática y resistentes al aceite.</w:t>
      </w:r>
    </w:p>
    <w:p w:rsidR="002B7E4F" w:rsidRPr="002B7E4F" w:rsidRDefault="002B7E4F" w:rsidP="00462F48">
      <w:pPr>
        <w:pStyle w:val="TITULO-4"/>
        <w:numPr>
          <w:ilvl w:val="3"/>
          <w:numId w:val="22"/>
        </w:numPr>
        <w:rPr>
          <w:spacing w:val="-1"/>
          <w:sz w:val="22"/>
          <w:szCs w:val="22"/>
        </w:rPr>
      </w:pPr>
      <w:bookmarkStart w:id="10" w:name="_Toc368152302"/>
      <w:r w:rsidRPr="002B7E4F">
        <w:rPr>
          <w:spacing w:val="-1"/>
          <w:sz w:val="22"/>
          <w:szCs w:val="22"/>
        </w:rPr>
        <w:t>Eje del ventilador.</w:t>
      </w:r>
      <w:bookmarkEnd w:id="10"/>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Deberá ser de tamaño preciso y pulido para que la primera velocidad crítica sea por lo menos 25% más que la velocidad máxima.</w:t>
      </w:r>
    </w:p>
    <w:p w:rsidR="002B7E4F" w:rsidRPr="002B7E4F" w:rsidRDefault="002B7E4F" w:rsidP="00462F48">
      <w:pPr>
        <w:pStyle w:val="TITULO-4"/>
        <w:numPr>
          <w:ilvl w:val="3"/>
          <w:numId w:val="22"/>
        </w:numPr>
        <w:rPr>
          <w:spacing w:val="-1"/>
          <w:sz w:val="22"/>
          <w:szCs w:val="22"/>
        </w:rPr>
      </w:pPr>
      <w:bookmarkStart w:id="11" w:name="_Toc368152303"/>
      <w:r w:rsidRPr="002B7E4F">
        <w:rPr>
          <w:spacing w:val="-1"/>
          <w:sz w:val="22"/>
          <w:szCs w:val="22"/>
        </w:rPr>
        <w:t>Características eléctricas.</w:t>
      </w:r>
      <w:bookmarkEnd w:id="11"/>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Los ventiladores deberán de trabajar bajo las siguientes características eléctricas:</w:t>
      </w:r>
    </w:p>
    <w:p w:rsidR="002B7E4F" w:rsidRPr="002B7E4F" w:rsidRDefault="002B7E4F" w:rsidP="00462F48">
      <w:pPr>
        <w:numPr>
          <w:ilvl w:val="0"/>
          <w:numId w:val="21"/>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Tensión de operación 220 VCA, sistema trifásico.</w:t>
      </w:r>
    </w:p>
    <w:p w:rsidR="002B7E4F" w:rsidRPr="002B7E4F" w:rsidRDefault="002B7E4F" w:rsidP="00462F48">
      <w:pPr>
        <w:numPr>
          <w:ilvl w:val="0"/>
          <w:numId w:val="21"/>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Frecuencia de operación 60 </w:t>
      </w:r>
      <w:proofErr w:type="spellStart"/>
      <w:r w:rsidRPr="002B7E4F">
        <w:rPr>
          <w:rFonts w:ascii="Arial" w:hAnsi="Arial" w:cs="Arial"/>
          <w:sz w:val="22"/>
          <w:szCs w:val="22"/>
        </w:rPr>
        <w:t>hz</w:t>
      </w:r>
      <w:proofErr w:type="spellEnd"/>
    </w:p>
    <w:p w:rsidR="002B7E4F" w:rsidRPr="002B7E4F" w:rsidRDefault="002B7E4F" w:rsidP="00462F48">
      <w:pPr>
        <w:numPr>
          <w:ilvl w:val="0"/>
          <w:numId w:val="21"/>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Caída de tensión máxima permisible de 5% máxima desde el transformador de estación.</w:t>
      </w:r>
    </w:p>
    <w:p w:rsidR="002B7E4F" w:rsidRPr="002B7E4F" w:rsidRDefault="002B7E4F" w:rsidP="00462F48">
      <w:pPr>
        <w:numPr>
          <w:ilvl w:val="0"/>
          <w:numId w:val="21"/>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Se contemplará un interruptor  instalado en fábrica y deberá ser suministrado con el motor, en caja tipo NEMA 1. </w:t>
      </w:r>
    </w:p>
    <w:p w:rsidR="002B7E4F" w:rsidRPr="002B7E4F" w:rsidRDefault="002B7E4F" w:rsidP="00462F48">
      <w:pPr>
        <w:numPr>
          <w:ilvl w:val="0"/>
          <w:numId w:val="21"/>
        </w:numPr>
        <w:tabs>
          <w:tab w:val="left" w:pos="567"/>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Todos los cableados internos de los equipos deberán de cumplir con las normas eléctricas nacionales, protocolos de prueba o en su caso la NEC y los materiales reconocidos por la UL.</w:t>
      </w:r>
    </w:p>
    <w:p w:rsidR="002B7E4F" w:rsidRPr="002B7E4F" w:rsidRDefault="002B7E4F" w:rsidP="002B7E4F">
      <w:pPr>
        <w:jc w:val="both"/>
        <w:rPr>
          <w:rFonts w:ascii="Arial" w:hAnsi="Arial" w:cs="Arial"/>
          <w:sz w:val="22"/>
          <w:szCs w:val="22"/>
        </w:rPr>
      </w:pPr>
      <w:r w:rsidRPr="002B7E4F">
        <w:rPr>
          <w:rFonts w:ascii="Arial" w:hAnsi="Arial" w:cs="Arial"/>
          <w:sz w:val="22"/>
          <w:szCs w:val="22"/>
        </w:rPr>
        <w:tab/>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2"/>
        </w:numPr>
        <w:rPr>
          <w:spacing w:val="-1"/>
          <w:sz w:val="22"/>
          <w:szCs w:val="22"/>
        </w:rPr>
      </w:pPr>
      <w:bookmarkStart w:id="12" w:name="_Toc368152304"/>
      <w:r w:rsidRPr="002B7E4F">
        <w:rPr>
          <w:spacing w:val="-1"/>
          <w:sz w:val="22"/>
          <w:szCs w:val="22"/>
        </w:rPr>
        <w:t>Operación y control.</w:t>
      </w:r>
      <w:bookmarkEnd w:id="12"/>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El sistema de control para los ventiladores será de forma automática y tendrá la capacidad de ser monitoreada y controlada desde centros remotos como el local jefe de estación o bien desde el centro de control.</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Para el control de los ventiladores localizados en los locales técnicos el proveedor de dichos equipos se adecuará a lo indicado en el proyecto ejecutivo y considerará sistemas de control de paro/arranque.</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Para el caso de los ventiladores que tienen la funcionalidad de ventilar locales públicos, el suministrador de los equipos proporcionará un sistema de control basado en un variador de frecuencia y se apegará a lo estipulado en el proyecto ejecutivo.</w:t>
      </w:r>
    </w:p>
    <w:p w:rsidR="002B7E4F" w:rsidRPr="002B7E4F" w:rsidRDefault="002B7E4F" w:rsidP="00462F48">
      <w:pPr>
        <w:pStyle w:val="TITULO-4"/>
        <w:numPr>
          <w:ilvl w:val="3"/>
          <w:numId w:val="22"/>
        </w:numPr>
        <w:rPr>
          <w:spacing w:val="-1"/>
          <w:sz w:val="22"/>
          <w:szCs w:val="22"/>
        </w:rPr>
      </w:pPr>
      <w:bookmarkStart w:id="13" w:name="_Toc368152305"/>
      <w:r w:rsidRPr="002B7E4F">
        <w:rPr>
          <w:spacing w:val="-1"/>
          <w:sz w:val="22"/>
          <w:szCs w:val="22"/>
        </w:rPr>
        <w:lastRenderedPageBreak/>
        <w:t xml:space="preserve">Soportes </w:t>
      </w:r>
      <w:proofErr w:type="spellStart"/>
      <w:r w:rsidRPr="002B7E4F">
        <w:rPr>
          <w:spacing w:val="-1"/>
          <w:sz w:val="22"/>
          <w:szCs w:val="22"/>
        </w:rPr>
        <w:t>antivibratorios</w:t>
      </w:r>
      <w:bookmarkEnd w:id="13"/>
      <w:proofErr w:type="spellEnd"/>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Los apoyos necesarios para garantizar la ausencia de vibraciones en el forjado de vestíbulo deberán ser incluidos en el suministro de los ventiladores y seguirán las recomendaciones del fabricante.</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El modelo y fabricante de los ventiladores podrá variar siempre que las características técnicas sean equivalentes a las descritas en este documento y sus dimensiones respeten el espacio reservado para las mismas (tanto el de izado de equipos desde andén previsto en vestíbulo como el necesario para su implantación en la sala de ventilación) y para los conductos de distribución.</w:t>
      </w:r>
    </w:p>
    <w:p w:rsidR="002B7E4F" w:rsidRPr="002B7E4F" w:rsidRDefault="002B7E4F" w:rsidP="002B7E4F">
      <w:pPr>
        <w:jc w:val="both"/>
        <w:rPr>
          <w:rFonts w:ascii="Arial" w:hAnsi="Arial" w:cs="Arial"/>
          <w:sz w:val="22"/>
          <w:szCs w:val="22"/>
          <w:lang w:eastAsia="ca-ES"/>
        </w:rPr>
      </w:pPr>
      <w:r w:rsidRPr="002B7E4F">
        <w:rPr>
          <w:rFonts w:ascii="Arial" w:hAnsi="Arial" w:cs="Arial"/>
          <w:noProof/>
          <w:sz w:val="22"/>
          <w:szCs w:val="22"/>
          <w:lang w:val="es-MX" w:eastAsia="es-MX"/>
        </w:rPr>
        <w:drawing>
          <wp:inline distT="0" distB="0" distL="0" distR="0">
            <wp:extent cx="5858510" cy="2466975"/>
            <wp:effectExtent l="19050" t="0" r="8890" b="0"/>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 cstate="print"/>
                    <a:srcRect/>
                    <a:stretch>
                      <a:fillRect/>
                    </a:stretch>
                  </pic:blipFill>
                  <pic:spPr bwMode="auto">
                    <a:xfrm>
                      <a:off x="0" y="0"/>
                      <a:ext cx="5858510" cy="246697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lang w:eastAsia="ca-ES"/>
        </w:rPr>
      </w:pPr>
    </w:p>
    <w:p w:rsidR="002B7E4F" w:rsidRPr="002B7E4F" w:rsidRDefault="002B7E4F" w:rsidP="00462F48">
      <w:pPr>
        <w:pStyle w:val="TITULO-4"/>
        <w:numPr>
          <w:ilvl w:val="3"/>
          <w:numId w:val="22"/>
        </w:numPr>
        <w:rPr>
          <w:spacing w:val="-1"/>
          <w:sz w:val="22"/>
          <w:szCs w:val="22"/>
        </w:rPr>
      </w:pPr>
      <w:bookmarkStart w:id="14" w:name="_Toc368152306"/>
      <w:r w:rsidRPr="002B7E4F">
        <w:rPr>
          <w:spacing w:val="-1"/>
          <w:sz w:val="22"/>
          <w:szCs w:val="22"/>
        </w:rPr>
        <w:t>Base de selección.</w:t>
      </w:r>
      <w:bookmarkEnd w:id="14"/>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Las características de los equipos seleccionados se han basado en la siguiente tabla y ha servido de guía para la selección de las mismas.</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r w:rsidRPr="002B7E4F">
        <w:rPr>
          <w:rFonts w:ascii="Arial" w:hAnsi="Arial" w:cs="Arial"/>
          <w:b/>
          <w:bCs/>
          <w:noProof/>
          <w:color w:val="4F81BD"/>
          <w:sz w:val="22"/>
          <w:szCs w:val="22"/>
          <w:lang w:val="es-MX" w:eastAsia="es-MX"/>
        </w:rPr>
        <w:lastRenderedPageBreak/>
        <w:drawing>
          <wp:inline distT="0" distB="0" distL="0" distR="0">
            <wp:extent cx="5709920" cy="7442835"/>
            <wp:effectExtent l="19050" t="0" r="5080" b="0"/>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srcRect/>
                    <a:stretch>
                      <a:fillRect/>
                    </a:stretch>
                  </pic:blipFill>
                  <pic:spPr bwMode="auto">
                    <a:xfrm>
                      <a:off x="0" y="0"/>
                      <a:ext cx="5709920" cy="7442835"/>
                    </a:xfrm>
                    <a:prstGeom prst="rect">
                      <a:avLst/>
                    </a:prstGeom>
                    <a:noFill/>
                    <a:ln w="9525">
                      <a:noFill/>
                      <a:miter lim="800000"/>
                      <a:headEnd/>
                      <a:tailEnd/>
                    </a:ln>
                  </pic:spPr>
                </pic:pic>
              </a:graphicData>
            </a:graphic>
          </wp:inline>
        </w:drawing>
      </w:r>
    </w:p>
    <w:p w:rsidR="002B7E4F" w:rsidRPr="002B7E4F" w:rsidRDefault="002B7E4F" w:rsidP="00462F48">
      <w:pPr>
        <w:pStyle w:val="TITULO-4"/>
        <w:numPr>
          <w:ilvl w:val="3"/>
          <w:numId w:val="22"/>
        </w:numPr>
        <w:rPr>
          <w:sz w:val="22"/>
          <w:szCs w:val="22"/>
        </w:rPr>
      </w:pPr>
      <w:bookmarkStart w:id="15" w:name="_Toc316649422"/>
      <w:bookmarkStart w:id="16" w:name="_Toc349142424"/>
      <w:bookmarkStart w:id="17" w:name="_Toc368152307"/>
      <w:r w:rsidRPr="002B7E4F">
        <w:rPr>
          <w:sz w:val="22"/>
          <w:szCs w:val="22"/>
        </w:rPr>
        <w:lastRenderedPageBreak/>
        <w:t>Sondas de temperatura ambiente</w:t>
      </w:r>
      <w:bookmarkEnd w:id="15"/>
      <w:bookmarkEnd w:id="16"/>
      <w:bookmarkEnd w:id="1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En los cuartos de comunicaciones, señalización, demás locales técnicos así </w:t>
      </w:r>
      <w:proofErr w:type="spellStart"/>
      <w:r w:rsidRPr="002B7E4F">
        <w:rPr>
          <w:rFonts w:ascii="Arial" w:hAnsi="Arial" w:cs="Arial"/>
          <w:sz w:val="22"/>
          <w:szCs w:val="22"/>
        </w:rPr>
        <w:t>cómo</w:t>
      </w:r>
      <w:proofErr w:type="spellEnd"/>
      <w:r w:rsidRPr="002B7E4F">
        <w:rPr>
          <w:rFonts w:ascii="Arial" w:hAnsi="Arial" w:cs="Arial"/>
          <w:sz w:val="22"/>
          <w:szCs w:val="22"/>
        </w:rPr>
        <w:t xml:space="preserve"> en las áreas públicas de andenes y vestíbulos, se instalarán módulos de pared con sonda de temperatura ambiente tipo Termistor NTC de 20 kΩ (a 25ºC). En caja de material plástico tipo PC/ABS, con grado de protección eléctrica IP30.  Rango de lectura: 0 a 50ºC.</w:t>
      </w:r>
    </w:p>
    <w:p w:rsidR="002B7E4F" w:rsidRPr="002B7E4F" w:rsidRDefault="002B7E4F" w:rsidP="002B7E4F">
      <w:pPr>
        <w:pStyle w:val="TITULO-3"/>
        <w:tabs>
          <w:tab w:val="clear" w:pos="1146"/>
        </w:tabs>
        <w:ind w:left="851" w:firstLine="0"/>
        <w:rPr>
          <w:rFonts w:ascii="Arial" w:hAnsi="Arial" w:cs="Arial"/>
          <w:b/>
          <w:sz w:val="22"/>
          <w:szCs w:val="22"/>
        </w:rPr>
      </w:pPr>
    </w:p>
    <w:p w:rsidR="002B7E4F" w:rsidRPr="002B7E4F" w:rsidRDefault="002B7E4F" w:rsidP="00462F48">
      <w:pPr>
        <w:pStyle w:val="TITULO-3"/>
        <w:numPr>
          <w:ilvl w:val="2"/>
          <w:numId w:val="22"/>
        </w:numPr>
        <w:tabs>
          <w:tab w:val="clear" w:pos="1440"/>
          <w:tab w:val="num" w:pos="851"/>
        </w:tabs>
        <w:ind w:left="851" w:hanging="851"/>
        <w:rPr>
          <w:rFonts w:ascii="Arial" w:hAnsi="Arial" w:cs="Arial"/>
          <w:b/>
          <w:sz w:val="22"/>
          <w:szCs w:val="22"/>
        </w:rPr>
      </w:pPr>
      <w:bookmarkStart w:id="18" w:name="_Toc368152308"/>
      <w:r w:rsidRPr="002B7E4F">
        <w:rPr>
          <w:rFonts w:ascii="Arial" w:hAnsi="Arial" w:cs="Arial"/>
          <w:b/>
          <w:sz w:val="22"/>
          <w:szCs w:val="22"/>
        </w:rPr>
        <w:t>Ejecución de Obra</w:t>
      </w:r>
      <w:bookmarkEnd w:id="18"/>
    </w:p>
    <w:p w:rsidR="002B7E4F" w:rsidRPr="002B7E4F" w:rsidRDefault="002B7E4F" w:rsidP="00462F48">
      <w:pPr>
        <w:pStyle w:val="TITULO-4"/>
        <w:numPr>
          <w:ilvl w:val="3"/>
          <w:numId w:val="22"/>
        </w:numPr>
        <w:rPr>
          <w:sz w:val="22"/>
          <w:szCs w:val="22"/>
        </w:rPr>
      </w:pPr>
      <w:bookmarkStart w:id="19" w:name="_Toc368152309"/>
      <w:r w:rsidRPr="002B7E4F">
        <w:rPr>
          <w:sz w:val="22"/>
          <w:szCs w:val="22"/>
        </w:rPr>
        <w:t>Trabajos preliminares</w:t>
      </w:r>
      <w:bookmarkEnd w:id="19"/>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los equipos de ventilación (inyección o extracción)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equipos y desde el periodo de fabricación de las mismas. En coordinación con el fabricante de los equipos se harán las visitas a obra necesarias para constatar los tiempos de fabricación y traslado al sitio de la obra.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2"/>
        </w:numPr>
        <w:rPr>
          <w:sz w:val="22"/>
          <w:szCs w:val="22"/>
        </w:rPr>
      </w:pPr>
      <w:bookmarkStart w:id="20" w:name="_Toc368152310"/>
      <w:r w:rsidRPr="002B7E4F">
        <w:rPr>
          <w:sz w:val="22"/>
          <w:szCs w:val="22"/>
        </w:rPr>
        <w:t>Almacenaje y transporte.</w:t>
      </w:r>
      <w:bookmarkEnd w:id="20"/>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deberán de supervisar las rutas de traslado de los equipos desde la fábrica hasta el sitio de la obra con el fin de prever los tiempos de traslado y dentro del programa de obra establecido en el </w:t>
      </w:r>
      <w:proofErr w:type="spellStart"/>
      <w:r w:rsidRPr="002B7E4F">
        <w:rPr>
          <w:rFonts w:ascii="Arial" w:hAnsi="Arial" w:cs="Arial"/>
          <w:sz w:val="22"/>
          <w:szCs w:val="22"/>
        </w:rPr>
        <w:t>planing</w:t>
      </w:r>
      <w:proofErr w:type="spellEnd"/>
      <w:r w:rsidRPr="002B7E4F">
        <w:rPr>
          <w:rFonts w:ascii="Arial" w:hAnsi="Arial" w:cs="Arial"/>
          <w:sz w:val="22"/>
          <w:szCs w:val="22"/>
        </w:rPr>
        <w:t xml:space="preserve"> del contrato.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ventilación.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Se contemplarán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necesario contemplar los medios para las maniobras de carga y descarga así </w:t>
      </w:r>
      <w:proofErr w:type="spellStart"/>
      <w:r w:rsidRPr="002B7E4F">
        <w:rPr>
          <w:rFonts w:ascii="Arial" w:hAnsi="Arial" w:cs="Arial"/>
          <w:sz w:val="22"/>
          <w:szCs w:val="22"/>
        </w:rPr>
        <w:t>cómo</w:t>
      </w:r>
      <w:proofErr w:type="spellEnd"/>
      <w:r w:rsidRPr="002B7E4F">
        <w:rPr>
          <w:rFonts w:ascii="Arial" w:hAnsi="Arial" w:cs="Arial"/>
          <w:sz w:val="22"/>
          <w:szCs w:val="22"/>
        </w:rPr>
        <w:t xml:space="preserve"> el traslado desde el lugar de almacenamientos hasta el sitio de instalación de una forma segura.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21" w:name="_Toc368152311"/>
      <w:r w:rsidRPr="002B7E4F">
        <w:rPr>
          <w:sz w:val="22"/>
          <w:szCs w:val="22"/>
        </w:rPr>
        <w:lastRenderedPageBreak/>
        <w:t>Instalación</w:t>
      </w:r>
      <w:bookmarkEnd w:id="21"/>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deberá de ubicar el sitio preciso de la ubicación del equipo, su posición en base a la entrada y salida de aire. 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ventilación,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2"/>
        </w:numPr>
        <w:tabs>
          <w:tab w:val="clear" w:pos="1440"/>
          <w:tab w:val="num" w:pos="851"/>
        </w:tabs>
        <w:ind w:left="851" w:hanging="851"/>
        <w:rPr>
          <w:rFonts w:ascii="Arial" w:hAnsi="Arial" w:cs="Arial"/>
          <w:b/>
          <w:sz w:val="22"/>
          <w:szCs w:val="22"/>
        </w:rPr>
      </w:pPr>
      <w:bookmarkStart w:id="22" w:name="_Toc368152312"/>
      <w:r w:rsidRPr="002B7E4F">
        <w:rPr>
          <w:rFonts w:ascii="Arial" w:hAnsi="Arial" w:cs="Arial"/>
          <w:b/>
          <w:sz w:val="22"/>
          <w:szCs w:val="22"/>
        </w:rPr>
        <w:t>Medición</w:t>
      </w:r>
      <w:bookmarkEnd w:id="22"/>
    </w:p>
    <w:p w:rsidR="002B7E4F" w:rsidRPr="002B7E4F" w:rsidRDefault="002B7E4F" w:rsidP="002B7E4F">
      <w:pPr>
        <w:jc w:val="both"/>
        <w:rPr>
          <w:rFonts w:ascii="Arial" w:hAnsi="Arial" w:cs="Arial"/>
          <w:sz w:val="22"/>
          <w:szCs w:val="22"/>
        </w:rPr>
      </w:pPr>
      <w:r w:rsidRPr="002B7E4F">
        <w:rPr>
          <w:rFonts w:ascii="Arial" w:hAnsi="Arial" w:cs="Arial"/>
          <w:sz w:val="22"/>
          <w:szCs w:val="22"/>
        </w:rPr>
        <w:t>Los ventiladores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22"/>
        </w:numPr>
        <w:tabs>
          <w:tab w:val="clear" w:pos="1440"/>
          <w:tab w:val="num" w:pos="851"/>
        </w:tabs>
        <w:ind w:left="851" w:hanging="851"/>
        <w:rPr>
          <w:rFonts w:ascii="Arial" w:hAnsi="Arial" w:cs="Arial"/>
          <w:b/>
          <w:sz w:val="22"/>
          <w:szCs w:val="22"/>
        </w:rPr>
      </w:pPr>
      <w:bookmarkStart w:id="23" w:name="_Toc368152313"/>
      <w:r w:rsidRPr="002B7E4F">
        <w:rPr>
          <w:rFonts w:ascii="Arial" w:hAnsi="Arial" w:cs="Arial"/>
          <w:b/>
          <w:sz w:val="22"/>
          <w:szCs w:val="22"/>
        </w:rPr>
        <w:lastRenderedPageBreak/>
        <w:t>Pruebas y Ensayo</w:t>
      </w:r>
      <w:bookmarkEnd w:id="2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Así mismo se realizaran pruebas en sitio.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2"/>
        </w:numPr>
        <w:rPr>
          <w:sz w:val="22"/>
          <w:szCs w:val="22"/>
        </w:rPr>
      </w:pPr>
      <w:bookmarkStart w:id="24" w:name="_Toc368152314"/>
      <w:r w:rsidRPr="002B7E4F">
        <w:rPr>
          <w:sz w:val="22"/>
          <w:szCs w:val="22"/>
        </w:rPr>
        <w:t>Garantías de calidad</w:t>
      </w:r>
      <w:bookmarkEnd w:id="24"/>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w:t>
      </w:r>
      <w:proofErr w:type="spellStart"/>
      <w:r w:rsidRPr="002B7E4F">
        <w:rPr>
          <w:rFonts w:ascii="Arial" w:hAnsi="Arial" w:cs="Arial"/>
          <w:sz w:val="22"/>
          <w:szCs w:val="22"/>
        </w:rPr>
        <w:t>defetuosos</w:t>
      </w:r>
      <w:proofErr w:type="spellEnd"/>
      <w:r w:rsidRPr="002B7E4F">
        <w:rPr>
          <w:rFonts w:ascii="Arial" w:hAnsi="Arial" w:cs="Arial"/>
          <w:sz w:val="22"/>
          <w:szCs w:val="22"/>
        </w:rPr>
        <w:t xml:space="preserve">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2"/>
        </w:numPr>
        <w:rPr>
          <w:sz w:val="22"/>
          <w:szCs w:val="22"/>
        </w:rPr>
      </w:pPr>
      <w:bookmarkStart w:id="25" w:name="_Toc368152315"/>
      <w:r w:rsidRPr="002B7E4F">
        <w:rPr>
          <w:sz w:val="22"/>
          <w:szCs w:val="22"/>
        </w:rPr>
        <w:t>Garantías técnicas</w:t>
      </w:r>
      <w:bookmarkEnd w:id="25"/>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2"/>
        </w:numPr>
        <w:tabs>
          <w:tab w:val="clear" w:pos="1440"/>
          <w:tab w:val="num" w:pos="851"/>
        </w:tabs>
        <w:ind w:left="851" w:hanging="851"/>
        <w:rPr>
          <w:rFonts w:ascii="Arial" w:hAnsi="Arial" w:cs="Arial"/>
          <w:b/>
          <w:sz w:val="22"/>
          <w:szCs w:val="22"/>
        </w:rPr>
      </w:pPr>
      <w:bookmarkStart w:id="26" w:name="_Toc368152316"/>
      <w:r w:rsidRPr="002B7E4F">
        <w:rPr>
          <w:rFonts w:ascii="Arial" w:hAnsi="Arial" w:cs="Arial"/>
          <w:b/>
          <w:sz w:val="22"/>
          <w:szCs w:val="22"/>
        </w:rPr>
        <w:t>Base de Pago</w:t>
      </w:r>
      <w:bookmarkEnd w:id="2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sz w:val="22"/>
          <w:szCs w:val="22"/>
        </w:rPr>
      </w:pP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76F25">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3867"/>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6F25"/>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19AF6-32BF-45C9-96A8-7ED526D19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1982</Words>
  <Characters>10834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2014-04-10T22:18:00Z</dcterms:created>
  <dcterms:modified xsi:type="dcterms:W3CDTF">2014-04-10T22:18:00Z</dcterms:modified>
</cp:coreProperties>
</file>